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Sarchi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REPLIMUNE GROUP,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500 UNICORN PARK DRIVE, SUITE 303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Replimune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WOBURN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01801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04/01/2026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50,000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201,588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75,000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7.61</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04/01/2026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04/01/2036</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issuable upon settlement of restricted stock units ("RSUs") granted to the Reporting Person. Each RSU represents a contingent right to receive one share of the Issuer's common stock. 25% of the RSUs will vest on May 15, 2027 and the remainder will vest in three approximately equal annual installments thereafter until May 15, 2030, subject to the Reporting Person's continuous service to the Issuer.</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stock option vest on April 1, 2027, and the remainder of the shares underlying this stock option vest in 36 approximately equal monthly installments thereafter.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is being filed late due to inadvertent administrative error.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Shawn Glidden, attorney-in- </w:t>
      </w:r>
      <w:r>
        <w:rPr>
          <w:rFonts w:ascii="Times New Roman" w:cs="Times New Roman" w:eastAsia="Times New Roman" w:hAnsi="Times New Roman"/>
          <w:sz w:val="33"/>
          <w:szCs w:val="33"/>
          <w:color w:val="0000FF"/>
          <w:vertAlign w:val="subscript"/>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6597" TargetMode="External"/><Relationship Id="rId14" Type="http://schemas.openxmlformats.org/officeDocument/2006/relationships/hyperlink" Target="http://www.sec.gov/cgi-bin/browse-edgar?action=getcompany&amp;CIK=0001737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2026-04-07T20:12:57Z</dcterms:created>
  <dcterms:modified xsi:type="dcterms:W3CDTF">2026-04-07T20:12:57Z</dcterms:modified>
</cp:coreProperties>
</file>